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3001</w:t>
        <w:t xml:space="preserve">.  </w:t>
      </w:r>
      <w:r>
        <w:rPr>
          <w:b/>
        </w:rPr>
        <w:t xml:space="preserve">Proceedings under this chapter</w:t>
      </w:r>
    </w:p>
    <w:p>
      <w:pPr>
        <w:jc w:val="both"/>
        <w:spacing w:before="100" w:after="0"/>
        <w:ind w:start="360"/>
        <w:ind w:firstLine="360"/>
      </w:pPr>
      <w:r>
        <w:rPr>
          <w:b/>
        </w:rPr>
        <w:t>1</w:t>
        <w:t xml:space="preserve">.  </w:t>
      </w:r>
      <w:r>
        <w:rPr>
          <w:b/>
        </w:rPr>
        <w:t xml:space="preserve">Application of subchapter.</w:t>
        <w:t xml:space="preserve"> </w:t>
      </w:r>
      <w:r>
        <w:t xml:space="preserve"> </w:t>
      </w:r>
      <w:r>
        <w:t xml:space="preserve">Except as otherwise provided in this chapter, this subchapter applies to all proceedings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§11 (RPR).]</w:t>
      </w:r>
    </w:p>
    <w:p>
      <w:pPr>
        <w:jc w:val="both"/>
        <w:spacing w:before="100" w:after="0"/>
        <w:ind w:start="360"/>
        <w:ind w:firstLine="360"/>
      </w:pPr>
      <w:r>
        <w:rPr>
          <w:b/>
        </w:rPr>
        <w:t>1-A</w:t>
        <w:t xml:space="preserve">.  </w:t>
      </w:r>
      <w:r>
        <w:rPr>
          <w:b/>
        </w:rPr>
        <w:t xml:space="preserve">Initiation of proceedings.</w:t>
        <w:t xml:space="preserve"> </w:t>
      </w:r>
      <w:r>
        <w:t xml:space="preserve"> </w:t>
      </w:r>
      <w:r>
        <w:t xml:space="preserve">An individual petitioner or a support enforcement agency may initiate a proceeding authorized under this chapter by filing a petition in an initiating tribunal for forwarding to a responding tribunal or by filing a petition or a comparable pleading directly in a tribunal of another state or a foreign country that has or can obtain personal jurisdiction over the respondent.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§35 (AMD); PL 2009, c. 95, §87 (AFF).]</w:t>
      </w:r>
    </w:p>
    <w:p>
      <w:pPr>
        <w:jc w:val="both"/>
        <w:spacing w:before="100" w:after="100"/>
        <w:ind w:start="360"/>
        <w:ind w:firstLine="360"/>
      </w:pPr>
      <w:r>
        <w:rPr>
          <w:b/>
        </w:rPr>
        <w:t>2</w:t>
        <w:t xml:space="preserve">.  </w:t>
      </w:r>
      <w:r>
        <w:rPr>
          <w:b/>
        </w:rPr>
        <w:t xml:space="preserve">Proceedings.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§11 (RP).]</w:t>
      </w:r>
    </w:p>
    <w:p>
      <w:pPr>
        <w:jc w:val="both"/>
        <w:spacing w:before="100" w:after="100"/>
        <w:ind w:start="360"/>
        <w:ind w:firstLine="360"/>
      </w:pPr>
      <w:r>
        <w:rPr>
          <w:b/>
        </w:rPr>
        <w:t>3</w:t>
        <w:t xml:space="preserve">.  </w:t>
      </w:r>
      <w:r>
        <w:rPr>
          <w:b/>
        </w:rPr>
        <w:t xml:space="preserve">Commencement of proceeding.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§11 (RPR). PL 2009, c. 95, §35 (AMD).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§3001. Proceedings under this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§3001. Proceedings under this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§3001. PROCEEDINGS UNDER THIS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