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2962</w:t>
        <w:t xml:space="preserve">.  </w:t>
      </w:r>
      <w:r>
        <w:rPr>
          <w:b/>
        </w:rPr>
        <w:t xml:space="preserve">Duration of personal jurisdiction</w:t>
      </w:r>
    </w:p>
    <w:p>
      <w:pPr>
        <w:jc w:val="both"/>
        <w:spacing w:before="100" w:after="100"/>
        <w:ind w:start="360"/>
        <w:ind w:firstLine="360"/>
      </w:pPr>
      <w:r>
        <w:rPr/>
      </w:r>
      <w:r>
        <w:rPr/>
      </w:r>
      <w:r>
        <w:t xml:space="preserve">Personal jurisdiction acquired by a tribunal of this State in a proceeding under this chapter or other law of this State relating to a support order continues as long as a tribunal of this State has continuing, exclusive jurisdiction to modify its order or continuing jurisdiction to enforce its order as provided by </w:t>
      </w:r>
      <w:r>
        <w:t>sections 2965</w:t>
      </w:r>
      <w:r>
        <w:t xml:space="preserve">, </w:t>
      </w:r>
      <w:r>
        <w:t>2966</w:t>
      </w:r>
      <w:r>
        <w:t xml:space="preserve"> and </w:t>
      </w:r>
      <w:r>
        <w:t>2971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436,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436, §10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§2962. Duration of personal jurisdiction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§2962. Duration of personal jurisdiction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§2962. DURATION OF PERSONAL JURISDICTION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