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1845</w:t>
        <w:t xml:space="preserve">.  </w:t>
      </w:r>
      <w:r>
        <w:rPr>
          <w:b/>
        </w:rPr>
        <w:t xml:space="preserve">Full faith and credit</w:t>
      </w:r>
    </w:p>
    <w:p>
      <w:pPr>
        <w:jc w:val="both"/>
        <w:spacing w:before="100" w:after="100"/>
        <w:ind w:start="360"/>
        <w:ind w:firstLine="360"/>
      </w:pPr>
      <w:r>
        <w:rPr/>
      </w:r>
      <w:r>
        <w:rPr/>
      </w:r>
      <w:r>
        <w:t xml:space="preserve">A court of this State shall give full faith and credit to a determination of parentage, including but not limited to an acknowledgment of paternity, from another state if the determination is valid and effective in accordance with the law of the other state.</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§1845. Full faith and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§1845. Full faith and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§1845. FULL FAITH AND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