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1747</w:t>
        <w:t xml:space="preserve">.  </w:t>
      </w:r>
      <w:r>
        <w:rPr>
          <w:b/>
        </w:rPr>
        <w:t xml:space="preserve">Jurisdiction to modify determination</w:t>
      </w:r>
    </w:p>
    <w:p>
      <w:pPr>
        <w:jc w:val="both"/>
        <w:spacing w:before="100" w:after="100"/>
        <w:ind w:start="360"/>
        <w:ind w:firstLine="360"/>
      </w:pPr>
      <w:r>
        <w:rPr/>
      </w:r>
      <w:r>
        <w:rPr/>
      </w:r>
      <w:r>
        <w:t xml:space="preserve">Except as otherwise provided in </w:t>
      </w:r>
      <w:r>
        <w:t>section 1748</w:t>
      </w:r>
      <w:r>
        <w:t xml:space="preserve">, a court of this State may not modify a child custody determination made by a court of another state unless a court of this State has jurisdiction to make an initial determination under </w:t>
      </w:r>
      <w:r>
        <w:t>section 1745, subsection 1, paragraph A</w:t>
      </w:r>
      <w:r>
        <w:t xml:space="preserve"> or </w:t>
      </w:r>
      <w:r>
        <w:t>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360"/>
        <w:ind w:firstLine="360"/>
      </w:pPr>
      <w:r>
        <w:rPr>
          <w:b/>
        </w:rPr>
        <w:t>1</w:t>
        <w:t xml:space="preserve">.  </w:t>
      </w:r>
      <w:r>
        <w:rPr>
          <w:b/>
        </w:rPr>
        <w:t xml:space="preserve">Jurisdiction of other state; more convenient forum.</w:t>
        <w:t xml:space="preserve"> </w:t>
      </w:r>
      <w:r>
        <w:t xml:space="preserve"> </w:t>
      </w:r>
      <w:r>
        <w:t xml:space="preserve">The court of the other state determines it no longer has exclusive, continuing jurisdiction under </w:t>
      </w:r>
      <w:r>
        <w:t>section 1746</w:t>
      </w:r>
      <w:r>
        <w:t xml:space="preserve"> or that a court of this State would be a more convenient forum under </w:t>
      </w:r>
      <w:r>
        <w:t>section 1751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2</w:t>
        <w:t xml:space="preserve">.  </w:t>
      </w:r>
      <w:r>
        <w:rPr>
          <w:b/>
        </w:rPr>
        <w:t xml:space="preserve">Not residents of other state.</w:t>
        <w:t xml:space="preserve"> </w:t>
      </w:r>
      <w:r>
        <w:t xml:space="preserve"> </w:t>
      </w:r>
      <w:r>
        <w:t xml:space="preserve">A court of this State or a court of the other state determines that the child, the child's parents and any person acting as a parent do not presently reside in the other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§1747. Jurisdiction to modify determination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§1747. Jurisdiction to modify determination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§1747. JURISDICTION TO MODIFY DETERMINATION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