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§1653-A. Parental rights and responsibilities; parent on active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§1653-A. Parental rights and responsibilities; parent on active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§1653-A. PARENTAL RIGHTS AND RESPONSIBILITIES; PARENT ON ACTIVE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