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6-227</w:t>
        <w:t xml:space="preserve">.  </w:t>
      </w:r>
      <w:r>
        <w:rPr>
          <w:b/>
        </w:rPr>
        <w:t xml:space="preserve">Setoff</w:t>
      </w:r>
    </w:p>
    <w:p>
      <w:pPr>
        <w:jc w:val="both"/>
        <w:spacing w:before="100" w:after="100"/>
        <w:ind w:start="360"/>
        <w:ind w:firstLine="360"/>
      </w:pPr>
      <w:r>
        <w:rPr/>
      </w:r>
      <w:r>
        <w:rPr/>
      </w:r>
      <w:r>
        <w:t xml:space="preserve">Without qualifying any other statutory right to setoff or lien and subject to any contractual provision, if a party is indebted to a financial institution, the financial institution has a right to setoff against the account.  The amount of the account subject to setoff is the proportion to which the party is, or immediately before death was, beneficially entitled under </w:t>
      </w:r>
      <w:r>
        <w:t>section 6‑211</w:t>
      </w:r>
      <w:r>
        <w:t xml:space="preserve"> or, in the absence of proof of that proportion, an equal share with all parties.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§6-227. Setoff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§6-227. Setoff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§6-227. SETOFF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