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5-430</w:t>
        <w:t xml:space="preserve">.  </w:t>
      </w:r>
      <w:r>
        <w:rPr>
          <w:b/>
        </w:rPr>
        <w:t xml:space="preserve">Removal of conservator; appointment of successor</w:t>
      </w:r>
    </w:p>
    <w:p>
      <w:pPr>
        <w:jc w:val="both"/>
        <w:spacing w:before="100" w:after="0"/>
        <w:ind w:start="360"/>
        <w:ind w:firstLine="360"/>
      </w:pPr>
      <w:r>
        <w:rPr>
          <w:b/>
        </w:rPr>
        <w:t>1</w:t>
        <w:t xml:space="preserve">.  </w:t>
      </w:r>
      <w:r>
        <w:rPr>
          <w:b/>
        </w:rPr>
        <w:t xml:space="preserve">Removal by court.</w:t>
        <w:t xml:space="preserve"> </w:t>
      </w:r>
      <w:r>
        <w:t xml:space="preserve"> </w:t>
      </w:r>
      <w:r>
        <w:t xml:space="preserve">The court may remove a conservator for failure to perform the conservator's duties or other good cause and appoint a successor conservator to assume the duties of the conservator.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Hearing upon petition, communication or determination.</w:t>
        <w:t xml:space="preserve"> </w:t>
      </w:r>
      <w:r>
        <w:t xml:space="preserve"> </w:t>
      </w:r>
      <w:r>
        <w:t xml:space="preserve">The court shall conduct a hearing to determine whether to remove a conservator and appoint a successor on:</w:t>
      </w:r>
    </w:p>
    <w:p>
      <w:pPr>
        <w:jc w:val="both"/>
        <w:spacing w:before="100" w:after="0"/>
        <w:ind w:start="720"/>
      </w:pPr>
      <w:r>
        <w:rPr/>
        <w:t>A</w:t>
        <w:t xml:space="preserve">.  </w:t>
      </w:r>
      <w:r>
        <w:rPr/>
      </w:r>
      <w:r>
        <w:t xml:space="preserve">Petition of the individual subject to conservatorship, conservator or person interested in the welfare of the individual that contains allegations that, if true, would support a reasonable belief that removal of the conservator and appointment of a successor may be appropriate, but the court may decline to hold a hearing if a petition based on the same or substantially similar facts was filed within the preceding 6 months;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Communication from the individual subject to conservatorship, conservator or person interested in the welfare of the individual that supports a reasonable belief that removal of the conservator and appointment of a successor may be appropriate;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Determination by the court that a hearing would be in the best interest of the individual subject to conservatorship.</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Notice of petition.</w:t>
        <w:t xml:space="preserve"> </w:t>
      </w:r>
      <w:r>
        <w:t xml:space="preserve"> </w:t>
      </w:r>
      <w:r>
        <w:t xml:space="preserve">Notice of a petition under </w:t>
      </w:r>
      <w:r>
        <w:t>subsection 2, paragraph A</w:t>
      </w:r>
      <w:r>
        <w:t xml:space="preserve"> must be given to the individual subject to conservatorship, the conservator and such other persons as the court determines.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Attorney for individual subject to conservatorship.</w:t>
        <w:t xml:space="preserve"> </w:t>
      </w:r>
      <w:r>
        <w:t xml:space="preserve"> </w:t>
      </w:r>
      <w:r>
        <w:t xml:space="preserve">If an individual subject to conservatorship who seeks to remove the conservator and have a successor appointed is not represented by an attorney, the court shall appoint an attorney under the same conditions as in </w:t>
      </w:r>
      <w:r>
        <w:t>section 5‑406</w:t>
      </w:r>
      <w:r>
        <w:t xml:space="preserve">. The court shall award reasonable attorney's fees to the attorney for the individual as provided in </w:t>
      </w:r>
      <w:r>
        <w:t>section 5‑119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Selection of successor conservator.</w:t>
        <w:t xml:space="preserve"> </w:t>
      </w:r>
      <w:r>
        <w:t xml:space="preserve"> </w:t>
      </w:r>
      <w:r>
        <w:t xml:space="preserve">In selecting a successor conservator, the court shall follow the procedures under </w:t>
      </w:r>
      <w:r>
        <w:t>section 5‑410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Notice of appointment of successor conservator.</w:t>
        <w:t xml:space="preserve"> </w:t>
      </w:r>
      <w:r>
        <w:t xml:space="preserve"> </w:t>
      </w:r>
      <w:r>
        <w:t xml:space="preserve">Not later than 30 days after appointing a successor conservator, the court shall give notice of the appointment to the individual subject to conservatorship and all persons entitled to the notice under </w:t>
      </w:r>
      <w:r>
        <w:t>section 5‑411, subsection 5</w:t>
      </w:r>
      <w:r>
        <w:t xml:space="preserve"> or a subsequent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§5-430. Removal of conservator; appointment of successor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§5-430. Removal of conservator; appointment of successor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§5-430. REMOVAL OF CONSERVATOR; APPOINTMENT OF SUCCESSOR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