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5-101</w:t>
        <w:t xml:space="preserve">.  </w:t>
      </w:r>
      <w:r>
        <w:rPr>
          <w:b/>
        </w:rPr>
        <w:t xml:space="preserve">Short title</w:t>
      </w:r>
    </w:p>
    <w:p>
      <w:pPr>
        <w:jc w:val="both"/>
        <w:spacing w:before="100" w:after="100"/>
        <w:ind w:start="360"/>
        <w:ind w:firstLine="360"/>
      </w:pPr>
      <w:r>
        <w:rPr/>
      </w:r>
      <w:r>
        <w:rPr/>
      </w:r>
      <w:r>
        <w:t>Parts 1</w:t>
      </w:r>
      <w:r>
        <w:t xml:space="preserve">, </w:t>
      </w:r>
      <w:r>
        <w:t>2</w:t>
      </w:r>
      <w:r>
        <w:t xml:space="preserve">, </w:t>
      </w:r>
      <w:r>
        <w:t>3</w:t>
      </w:r>
      <w:r>
        <w:t xml:space="preserve">, </w:t>
      </w:r>
      <w:r>
        <w:t>4</w:t>
      </w:r>
      <w:r>
        <w:t xml:space="preserve"> and </w:t>
      </w:r>
      <w:r>
        <w:t>5</w:t>
      </w:r>
      <w:r>
        <w:t xml:space="preserve"> of this Article may be known and cited as "the Maine Uniform Guardianship, Conservatorship and Protective Proceedings Act."</w:t>
      </w:r>
      <w:r>
        <w:t xml:space="preserve">  </w:t>
      </w:r>
      <w:r xmlns:wp="http://schemas.openxmlformats.org/drawingml/2010/wordprocessingDrawing" xmlns:w15="http://schemas.microsoft.com/office/word/2012/wordml">
        <w:rPr>
          <w:rFonts w:ascii="Arial" w:hAnsi="Arial" w:cs="Arial"/>
          <w:sz w:val="22"/>
          <w:szCs w:val="22"/>
        </w:rPr>
        <w:t xml:space="preserve">[PL 2019, c. 417, Pt. A,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A, §8 (AMD).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§5-101.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§5-101.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§5-101.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