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Costs in contested cases</w:t>
      </w:r>
    </w:p>
    <w:p>
      <w:pPr>
        <w:jc w:val="both"/>
        <w:spacing w:before="100" w:after="100"/>
        <w:ind w:start="360"/>
        <w:ind w:firstLine="360"/>
      </w:pPr>
      <w:r>
        <w:rPr/>
      </w:r>
      <w:r>
        <w:rPr/>
      </w:r>
      <w:r>
        <w:t xml:space="preserve">In contested probate cases and appeals, costs may be allowed to either party, including reasonable witness fees, costs of depositions, hospital records or medical reports and attorney's fees, to be paid to either or both parties out of the estate in controversy, as justice requires.  In cases in which a will is contested on the grounds of undue influence or mental capacity, attorney's fees and costs may not be allowed to a party who unsuccessfully contests the will.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Costs in contested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Costs in contested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§1-601. COSTS IN CONTESTED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