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Inspection of register's conduct of office</w:t>
      </w:r>
    </w:p>
    <w:p>
      <w:pPr>
        <w:jc w:val="both"/>
        <w:spacing w:before="100" w:after="100"/>
        <w:ind w:start="360"/>
        <w:ind w:firstLine="360"/>
      </w:pPr>
      <w:r>
        <w:rPr/>
      </w:r>
      <w:r>
        <w:rPr/>
      </w:r>
      <w:r>
        <w:t xml:space="preserve">A judge shall constantly inspect the conduct of the register with respect to the register's records and duties and give information in writing of any breach of the register's bond to the treasurer of the county, who shall bring a civil action.  Any funds recovered in the civil action must be applied toward the expenses of completing the records of the register under the direction of the judge and the surplus, if any, must inure to the county.  If the funds are insufficient, the treasurer may recover the deficiency from the register in a civil action.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Inspection of register's conduct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Inspection of register's conduct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§1-507. INSPECTION OF REGISTER'S CONDUCT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