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1-502</w:t>
        <w:t xml:space="preserve">.  </w:t>
      </w:r>
      <w:r>
        <w:rPr>
          <w:b/>
        </w:rPr>
        <w:t xml:space="preserve">Condition of bond</w:t>
      </w:r>
    </w:p>
    <w:p>
      <w:pPr>
        <w:jc w:val="both"/>
        <w:spacing w:before="100" w:after="100"/>
        <w:ind w:start="360"/>
        <w:ind w:firstLine="360"/>
      </w:pPr>
      <w:r>
        <w:rPr/>
      </w:r>
      <w:r>
        <w:rPr/>
      </w:r>
      <w:r>
        <w:t xml:space="preserve">A register's bond is conditioned on the register's accounting, according to law, for all fees received by or payable to the register by virtue of the office and the register's paying the fees to the county treasurer by the 15th day of each month following the month in which the fees were collected, as provided by law; the register's keeping, seasonably and in good order, the records of the court; the register's making and keeping correct and convenient indices of the records; and the register's faithfully discharging all other duties of the office.  If a register forfeits the register's bond, the register is disqualified from holding office.  The register's failure to complete the register's records for more than 6 months at any time, except in cases of sickness or extraordinary casualty, constitutes a forfeiture.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§1-502. Condition of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§1-502. Condition of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§1-502. CONDITION OF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