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1-107</w:t>
        <w:t xml:space="preserve">.  </w:t>
      </w:r>
      <w:r>
        <w:rPr>
          <w:b/>
        </w:rPr>
        <w:t xml:space="preserve">Acts by holder of general power</w:t>
      </w:r>
    </w:p>
    <w:p>
      <w:pPr>
        <w:jc w:val="both"/>
        <w:spacing w:before="100" w:after="100"/>
        <w:ind w:start="360"/>
        <w:ind w:firstLine="360"/>
      </w:pPr>
      <w:r>
        <w:rPr/>
      </w:r>
      <w:r>
        <w:rPr/>
      </w:r>
      <w:r>
        <w:t xml:space="preserve">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co-holders of a presently exercisable general power of appointment, including one in the form of a power of amendment or revocation, are deemed to act for beneficiaries to the extent their interests, as objects, takers in default or otherwise, are subject to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§1-107. Acts by holder of general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§1-107. Acts by holder of general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§1-107. ACTS BY HOLDER OF GENERAL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