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2799</w:t>
        <w:t xml:space="preserve">.  </w:t>
      </w:r>
      <w:r>
        <w:rPr>
          <w:b/>
        </w:rPr>
        <w:t xml:space="preserve">Possession of poisonous snakes</w:t>
      </w:r>
    </w:p>
    <w:p>
      <w:pPr>
        <w:jc w:val="both"/>
        <w:spacing w:before="100" w:after="100"/>
        <w:ind w:start="360"/>
        <w:ind w:firstLine="360"/>
      </w:pPr>
      <w:r>
        <w:rPr/>
      </w:r>
      <w:r>
        <w:rPr/>
      </w:r>
      <w:r>
        <w:t xml:space="preserve">The possession of poisonous snakes shall be a public nuisance, except where poisonous snakes shall be continuously confined in such type of enclosure as may be determined to be escape proof.</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§2799. Possession of poisonous snakes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§2799. Possession of poisonous snakes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§2799. POSSESSION OF POISONOUS SNAKES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