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Eligibility for deferred disposition</w:t>
      </w:r>
    </w:p>
    <w:p>
      <w:pPr>
        <w:jc w:val="both"/>
        <w:spacing w:before="100" w:after="100"/>
        <w:ind w:start="360"/>
        <w:ind w:firstLine="360"/>
      </w:pPr>
      <w:r>
        <w:rPr/>
      </w:r>
      <w:r>
        <w:rPr/>
      </w:r>
      <w:r>
        <w:t xml:space="preserve">A person who has pleaded guilty to a Class B crime under </w:t>
      </w:r>
      <w:r>
        <w:t>chapter 45</w:t>
      </w:r>
      <w:r>
        <w:t xml:space="preserve"> or a Class C, Class D or Class E crime and who consents to a deferred disposition in writing is eligible for a deferred disposition.</w:t>
      </w:r>
      <w:r>
        <w:t xml:space="preserve">  </w:t>
      </w:r>
      <w:r xmlns:wp="http://schemas.openxmlformats.org/drawingml/2010/wordprocessingDrawing" xmlns:w15="http://schemas.microsoft.com/office/word/2012/wordml">
        <w:rPr>
          <w:rFonts w:ascii="Arial" w:hAnsi="Arial" w:cs="Arial"/>
          <w:sz w:val="22"/>
          <w:szCs w:val="22"/>
        </w:rPr>
        <w:t xml:space="preserve">[PL 2021, c. 308,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Eligibility for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Eligibility for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§1901. ELIGIBILITY FOR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