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1357</w:t>
        <w:t xml:space="preserve">.  </w:t>
      </w:r>
      <w:r>
        <w:rPr>
          <w:b/>
        </w:rPr>
        <w:t xml:space="preserve">Federal funds</w:t>
      </w:r>
    </w:p>
    <w:p>
      <w:pPr>
        <w:jc w:val="both"/>
        <w:spacing w:before="100" w:after="100"/>
        <w:ind w:start="360"/>
        <w:ind w:firstLine="360"/>
      </w:pPr>
      <w:r>
        <w:rPr/>
      </w:r>
      <w:r>
        <w:rPr/>
      </w:r>
      <w:r>
        <w:t xml:space="preserve">The commission shall be authorized on behalf of the State to accept federal funds and may seek the advice and assistance of the Criminal Justice Planning and Assistance Agency in carrying out its duties.</w:t>
      </w:r>
      <w:r>
        <w:t xml:space="preserve">  </w:t>
      </w:r>
      <w:r xmlns:wp="http://schemas.openxmlformats.org/drawingml/2010/wordprocessingDrawing" xmlns:w15="http://schemas.microsoft.com/office/word/2012/wordml">
        <w:rPr>
          <w:rFonts w:ascii="Arial" w:hAnsi="Arial" w:cs="Arial"/>
          <w:sz w:val="22"/>
          <w:szCs w:val="22"/>
        </w:rPr>
        <w:t xml:space="preserve">[PL 1975, c. 740, §124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§1357. Federal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§1357. Federal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§1357. FEDERAL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