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SEXUAL EXPLOITATION OF MINORS</w:t>
      </w:r>
    </w:p>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SEXUAL EXPLOITATION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SEXUAL EXPLOITATION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12. SEXUAL EXPLOITATION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