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3303</w:t>
        <w:t xml:space="preserve">.  </w:t>
      </w:r>
      <w:r>
        <w:rPr>
          <w:b/>
        </w:rPr>
        <w:t xml:space="preserve">Dismissal of petition with prejudice</w:t>
      </w:r>
    </w:p>
    <w:p>
      <w:pPr>
        <w:jc w:val="both"/>
        <w:spacing w:before="100" w:after="100"/>
        <w:ind w:start="360"/>
        <w:ind w:firstLine="360"/>
      </w:pPr>
      <w:r>
        <w:rPr/>
      </w:r>
      <w:r>
        <w:rPr/>
      </w:r>
      <w:r>
        <w:t xml:space="preserve">On motion made by or on behalf of a juvenile, or by the court itself, a petition must be dismissed with prejudice if it was not filed within 9 months from the date the juvenile was referred to the juvenile community corrections officer for an intake assessment, unless the prosecuting attorney either before or after the expiration of the 9-month period files a motion for an extension of time for the filing of a petition, accompanied by the reasons for this extension. The court may for good cause extend the time for bringing a petition for any period of time that is less than the limitation established in </w:t>
      </w:r>
      <w:r>
        <w:t>section 3105‑A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624, Pt. B,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1977, c. 664, §23 (AMD). PL 1983, c. 176, §A6 (AMD). PL 1985, c. 439, §12 (AMD). PL 1995, c. 133, §1 (AMD). PL 1999, c. 624, §B13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§3303. Dismissal of petition with prejudice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§3303. Dismissal of petition with prejudice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§3303. DISMISSAL OF PETITION WITH PREJUDICE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