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§3301-A. School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§3301-A. SCHOOL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