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3202</w:t>
        <w:t xml:space="preserve">.  </w:t>
      </w:r>
      <w:r>
        <w:rPr>
          <w:b/>
        </w:rPr>
        <w:t xml:space="preserve">Arrest warrants for juveniles</w:t>
      </w:r>
    </w:p>
    <w:p>
      <w:pPr>
        <w:jc w:val="both"/>
        <w:spacing w:before="100" w:after="100"/>
        <w:ind w:start="360"/>
        <w:ind w:firstLine="360"/>
      </w:pPr>
      <w:r>
        <w:rPr/>
      </w:r>
      <w:r>
        <w:rPr/>
      </w:r>
      <w:r>
        <w:t xml:space="preserve">An arrest warrant for a juvenile must be issued in the manner provided by Rule 4 of the Maine Rules of Unified Criminal Procedure, except that affidavits alone must be presented and a petition is not necessary.  Following arrest, the juvenile is subject to the procedures specified in </w:t>
      </w:r>
      <w:r>
        <w:t>sections 3203‑A</w:t>
      </w:r>
      <w:r>
        <w:t xml:space="preserve"> and </w:t>
      </w:r>
      <w:r>
        <w:t>3301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431, §28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 PL 1979, c. 681, §9 (RPR). PL 2001, c. 4, §1 (AMD). PL 2005, c. 328, §8 (AMD). PL 2015, c. 431, §28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§3202. Arrest warrants for juveniles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§3202. Arrest warrants for juveniles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§3202. ARREST WARRANTS FOR JUVENILES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