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Victims' rights</w:t>
      </w:r>
    </w:p>
    <w:p>
      <w:pPr>
        <w:jc w:val="both"/>
        <w:spacing w:before="100" w:after="100"/>
        <w:ind w:start="360"/>
        <w:ind w:firstLine="360"/>
      </w:pPr>
      <w:r>
        <w:rPr/>
      </w:r>
      <w:r>
        <w:rPr/>
      </w:r>
      <w:r>
        <w:t xml:space="preserve">In addition to any rights given to victims of juvenile crimes in this Part, the victim of a juvenile crime has the rights that a victim has under </w:t>
      </w:r>
      <w:r>
        <w:t>Title 17‑A, section 2106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280, §1 (NEW). PL 2019, c. 113, Pt. C,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§3007. Victims'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Victims'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§3007. VICTIMS'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