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w:t>
        <w:t xml:space="preserve">.  </w:t>
      </w:r>
      <w:r>
        <w:rPr>
          <w:b/>
        </w:rPr>
        <w:t xml:space="preserve">Recognizance after commitment</w:t>
      </w:r>
    </w:p>
    <w:p>
      <w:pPr>
        <w:jc w:val="both"/>
        <w:spacing w:before="100" w:after="100"/>
        <w:ind w:start="360"/>
        <w:ind w:firstLine="360"/>
      </w:pPr>
      <w:r>
        <w:rPr/>
      </w:r>
      <w:r>
        <w:rPr/>
      </w:r>
      <w:r>
        <w:t xml:space="preserve">A person committed for not recognizing as aforesaid may be discharged by a Justice of the Superior Court or a bail commissioner on giving the security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 Recognizance after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 Recognizance after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§288. RECOGNIZANCE AFTER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