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w:t>
        <w:t xml:space="preserve">.  </w:t>
      </w:r>
      <w:r>
        <w:rPr>
          <w:b/>
        </w:rPr>
        <w:t xml:space="preserve">Discharge on compliance; commitment</w:t>
      </w:r>
    </w:p>
    <w:p>
      <w:pPr>
        <w:jc w:val="both"/>
        <w:spacing w:before="100" w:after="100"/>
        <w:ind w:start="360"/>
        <w:ind w:firstLine="360"/>
      </w:pPr>
      <w:r>
        <w:rPr/>
      </w:r>
      <w:r>
        <w:rPr/>
      </w:r>
      <w:r>
        <w:t xml:space="preserve">If the accused complies with such order, the accused must be discharged. If the accused does not comply, the accused must be committed to jail for the time for which the accused was required to find sureties or until the accused complies with the order. The judge shall state in the mittimus the cause of commitment and the time and sum for which security was required and return a copy of the warrant to the next term of the Superior Court in the county, and the court shall have cognizance of the case, as if the accused had appealed to that court.</w:t>
      </w:r>
      <w:r>
        <w:t xml:space="preserve">  </w:t>
      </w:r>
      <w:r xmlns:wp="http://schemas.openxmlformats.org/drawingml/2010/wordprocessingDrawing" xmlns:w15="http://schemas.microsoft.com/office/word/2012/wordml">
        <w:rPr>
          <w:rFonts w:ascii="Arial" w:hAnsi="Arial" w:cs="Arial"/>
          <w:sz w:val="22"/>
          <w:szCs w:val="22"/>
        </w:rPr>
        <w:t xml:space="preserve">[RR 2023, c. 2, Pt. D, §40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§40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 Discharge on compliance; commitment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 Discharge on compliance; commitment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§285. DISCHARGE ON COMPLIANCE; COMMITMENT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