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226-A</w:t>
        <w:t xml:space="preserve">.  </w:t>
      </w:r>
      <w:r>
        <w:rPr>
          <w:b/>
        </w:rPr>
        <w:t xml:space="preserve">Delivery of fugitive to agents</w:t>
      </w:r>
    </w:p>
    <w:p>
      <w:pPr>
        <w:jc w:val="both"/>
        <w:spacing w:before="100" w:after="100"/>
        <w:ind w:start="360"/>
        <w:ind w:firstLine="360"/>
      </w:pPr>
      <w:r>
        <w:rPr/>
      </w:r>
      <w:r>
        <w:rPr/>
      </w:r>
      <w:r>
        <w:t xml:space="preserve">Whenever a person held as a fugitive in this State has exhausted the person's remedies under this chapter to challenge the person's extradition or has waived extradition, the district attorney shall promptly notify the agents of the demanding state that the fugitive is available to be returned to that state. If an agent does not appear within 30 days after the notification, the fugitive may be discharged from custody, except that after the discharge the fugitive may be rearrested and delivered to the agent for return to the demanding state, unless the Governor's warrant has been recalled.</w:t>
      </w:r>
      <w:r>
        <w:t xml:space="preserve">  </w:t>
      </w:r>
      <w:r xmlns:wp="http://schemas.openxmlformats.org/drawingml/2010/wordprocessingDrawing" xmlns:w15="http://schemas.microsoft.com/office/word/2012/wordml">
        <w:rPr>
          <w:rFonts w:ascii="Arial" w:hAnsi="Arial" w:cs="Arial"/>
          <w:sz w:val="22"/>
          <w:szCs w:val="22"/>
        </w:rPr>
        <w:t xml:space="preserve">[RR 2023, c. 2, Pt. D,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§13 (NEW). RR 2023, c. 2, Pt. D,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§226-A. Delivery of fugitive to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§226-A. Delivery of fugitive to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§226-A. DELIVERY OF FUGITIVE TO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