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1943</w:t>
        <w:t xml:space="preserve">.  </w:t>
      </w:r>
      <w:r>
        <w:rPr>
          <w:b/>
        </w:rPr>
        <w:t xml:space="preserve">Fines, costs and forfeitures in Superior Court</w:t>
      </w:r>
    </w:p>
    <w:p>
      <w:pPr>
        <w:jc w:val="both"/>
        <w:spacing w:before="100" w:after="100"/>
        <w:ind w:start="360"/>
        <w:ind w:firstLine="360"/>
      </w:pPr>
      <w:r>
        <w:rPr/>
      </w:r>
      <w:r>
        <w:rPr/>
      </w:r>
      <w:r>
        <w:t xml:space="preserve">Every clerk of a Superior Court shall render under oath a detailed account of all fines, costs and forfeitures upon convictions and sentences before the court and shall pay them into the State Treasury on or before the 15th day of the month following the collection of such fines, costs and forfeitures. Any person who fails to make such payments into the State Treasury forfeits, in each instance, double the amount so neglected to be paid over, to be recovered by indictment for the persons entitled to such fines, costs and forfeitures, and in default of payment, that person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2015, c. 44,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383, §16 (AMD). PL 1975, c. 408, §31 (RPR). PL 1979, c. 663, §108 (AMD). PL 2013, c. 16, §10 (REV). PL 2015, c. 44,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§1943. Fines, costs and forfeitures in Superior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§1943. Fines, costs and forfeitures in Superior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§1943. FINES, COSTS AND FORFEITURES IN SUPERIOR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