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§4 (RP). </w:t>
      </w:r>
    </w:p>
    <w:p>
      <w:pPr>
        <w:jc w:val="both"/>
        <w:spacing w:before="100" w:after="100"/>
        <w:ind w:start="1080" w:hanging="720"/>
      </w:pPr>
      <w:r>
        <w:rPr>
          <w:b/>
        </w:rPr>
        <w:t>§</w:t>
        <w:t>2502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§19 (AMD). PL 1971, c. 598, §16 (AMD). PL 1973, c. 351 (AMD). PL 1973, c. 788, §63 (AMD). PL 1975, c. 62, §§1,2 (AMD). PL 1977, c. 520, §5 (RP). </w:t>
      </w:r>
    </w:p>
    <w:p>
      <w:pPr>
        <w:jc w:val="both"/>
        <w:spacing w:before="100" w:after="100"/>
        <w:ind w:start="1080" w:hanging="720"/>
      </w:pPr>
      <w:r>
        <w:rPr>
          <w:b/>
        </w:rPr>
        <w:t>§</w:t>
        <w:t>2503</w:t>
        <w:t xml:space="preserve">.  </w:t>
      </w:r>
      <w:r>
        <w:rPr>
          <w:b/>
        </w:rPr>
        <w:t xml:space="preserve">Mentally retarded and mentally ill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