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867</w:t>
        <w:t xml:space="preserve">.  </w:t>
      </w:r>
      <w:r>
        <w:rPr>
          <w:b/>
        </w:rPr>
        <w:t xml:space="preserve">Foreign corporations covered by limitations</w:t>
      </w:r>
    </w:p>
    <w:p>
      <w:pPr>
        <w:jc w:val="both"/>
        <w:spacing w:before="100" w:after="100"/>
        <w:ind w:start="360"/>
        <w:ind w:firstLine="360"/>
      </w:pPr>
      <w:r>
        <w:rPr/>
      </w:r>
      <w:r>
        <w:rPr/>
      </w:r>
      <w:r>
        <w:t xml:space="preserve">Any foreign corporation, doing business continuously in this State and having constantly an officer or agent resident herein on whom service of any process may be made, shall be entitled to the benefit of all provisions of law relating to limitation of actions the same as domestic corporations.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§867. Foreign corporations covered by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§867. Foreign corporations covered by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§867. FOREIGN CORPORATIONS COVERED BY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