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8244</w:t>
        <w:t xml:space="preserve">.  </w:t>
      </w:r>
      <w:r>
        <w:rPr>
          <w:b/>
        </w:rPr>
        <w:t xml:space="preserve">Limitation of action</w:t>
      </w:r>
    </w:p>
    <w:p>
      <w:pPr>
        <w:jc w:val="both"/>
        <w:spacing w:before="100" w:after="100"/>
        <w:ind w:start="360"/>
        <w:ind w:firstLine="360"/>
      </w:pPr>
      <w:r>
        <w:rPr/>
      </w:r>
      <w:r>
        <w:rPr/>
      </w:r>
      <w:r>
        <w:t xml:space="preserve">Every claim for wrongful imprisonment permitted under this chapter is forever barred from the courts of this State unless an action is begun in the courts within 2 years after the date of the full and free pardon of the conviction on which the claim is based.</w:t>
      </w:r>
      <w:r>
        <w:t xml:space="preserve">  </w:t>
      </w:r>
      <w:r xmlns:wp="http://schemas.openxmlformats.org/drawingml/2010/wordprocessingDrawing" xmlns:w15="http://schemas.microsoft.com/office/word/2012/wordml">
        <w:rPr>
          <w:rFonts w:ascii="Arial" w:hAnsi="Arial" w:cs="Arial"/>
          <w:sz w:val="22"/>
          <w:szCs w:val="22"/>
        </w:rPr>
        <w:t xml:space="preserve">[PL 1993, c. 480, §1 (NEW); PL 1993, c. 480,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PL 1993, c. 480,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§8244. Limitation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§8244. Limitation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§8244. LIMITATION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