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7560</w:t>
        <w:t xml:space="preserve">.  </w:t>
      </w:r>
      <w:r>
        <w:rPr>
          <w:b/>
        </w:rPr>
        <w:t xml:space="preserve">Lands of deceased insolvent</w:t>
      </w:r>
    </w:p>
    <w:p>
      <w:pPr>
        <w:jc w:val="both"/>
        <w:spacing w:before="100" w:after="100"/>
        <w:ind w:start="360"/>
        <w:ind w:firstLine="360"/>
      </w:pPr>
      <w:r>
        <w:rPr/>
      </w:r>
      <w:r>
        <w:rPr/>
      </w:r>
      <w:r>
        <w:t xml:space="preserve">If an heir or devisee of a person deceased, after the estate of the decedent is represented insolvent and before sale of the real estate for payment of debts or before all the debts are paid, removes or injures any building or any trees, except such trees as are needed for fuel or repairs, or commits any strip or waste on such estate, he shall forfeit treble the amount of damages, to be recovered by the executor or administrator in a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§7560. Lands of deceased insolvent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§7560. Lands of deceased insolvent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§7560. LANDS OF DECEASED INSOLVENT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