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741</w:t>
        <w:t xml:space="preserve">.  </w:t>
      </w:r>
      <w:r>
        <w:rPr>
          <w:b/>
        </w:rPr>
        <w:t xml:space="preserve">Construction</w:t>
      </w:r>
    </w:p>
    <w:p>
      <w:pPr>
        <w:jc w:val="both"/>
        <w:spacing w:before="100" w:after="100"/>
        <w:ind w:start="360"/>
        <w:ind w:firstLine="360"/>
      </w:pPr>
      <w:r>
        <w:rPr/>
      </w:r>
      <w:r>
        <w:rPr/>
      </w:r>
      <w:r>
        <w:t xml:space="preserve">This subchapter must be broadly construed and applied to protect the exercise of the right of freedom of speech and of the press, the right to assemble and petition and the right of association guaranteed by the United States Constitution or by the Constitution of Maine.</w:t>
      </w:r>
      <w:r>
        <w:t xml:space="preserve">  </w:t>
      </w:r>
      <w:r xmlns:wp="http://schemas.openxmlformats.org/drawingml/2010/wordprocessingDrawing" xmlns:w15="http://schemas.microsoft.com/office/word/2012/wordml">
        <w:rPr>
          <w:rFonts w:ascii="Arial" w:hAnsi="Arial" w:cs="Arial"/>
          <w:sz w:val="22"/>
          <w:szCs w:val="22"/>
        </w:rPr>
        <w:t xml:space="preserve">[PL 2023, c. 626, §2 (NEW); PL 2023, c. 626, §§3, 4,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626, §2 (NEW). PL 2023, c. 626, §§3, 4,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§741.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§741.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§741.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