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Writ of return where defendant prevails; judgment when property held as security</w:t>
      </w:r>
    </w:p>
    <w:p>
      <w:pPr>
        <w:jc w:val="both"/>
        <w:spacing w:before="100" w:after="100"/>
        <w:ind w:start="360"/>
        <w:ind w:firstLine="360"/>
      </w:pPr>
      <w:r>
        <w:rPr/>
      </w:r>
      <w:r>
        <w:rPr/>
      </w:r>
      <w:r>
        <w:t xml:space="preserve">If it appears that the defendant is entitled to a return of the goods, he shall have judgment and a writ of return accordingly, with damages for the taking and costs. If the plaintiff claims the property replevied as security for a debt, his claim shall be discharged by payment or tender thereof, with interest and costs; and judgment shall be for a return without costs, unless his title has become absolute by a legal foreclosure.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§7304. Writ of return where defendant prevails; judgment when property held as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Writ of return where defendant prevails; judgment when property held as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§7304. WRIT OF RETURN WHERE DEFENDANT PREVAILS; JUDGMENT WHEN PROPERTY HELD AS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