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7215</w:t>
        <w:t xml:space="preserve">.  </w:t>
      </w:r>
      <w:r>
        <w:rPr>
          <w:b/>
        </w:rPr>
        <w:t xml:space="preserve">Judgment that State reseized</w:t>
      </w:r>
    </w:p>
    <w:p>
      <w:pPr>
        <w:jc w:val="both"/>
        <w:spacing w:before="100" w:after="100"/>
        <w:ind w:start="360"/>
        <w:ind w:firstLine="360"/>
      </w:pPr>
      <w:r>
        <w:rPr/>
      </w:r>
      <w:r>
        <w:rPr/>
      </w:r>
      <w:r>
        <w:t xml:space="preserve">When judgment on information is rendered that the State be reseized or seized of any lands, the State shall be deemed in law to be so seized, and any judgment so rendered shall conclude all privies and parties and those claiming under them, so long as it remains in force, subject to </w:t>
      </w:r>
      <w:r>
        <w:t>section 7216</w:t>
      </w:r>
      <w:r>
        <w:t xml:space="preserv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§7215. Judgment that State reseized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§7215. Judgment that State reseized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§7215. JUDGMENT THAT STATE RESEIZED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