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7152</w:t>
        <w:t xml:space="preserve">.  </w:t>
      </w:r>
      <w:r>
        <w:rPr>
          <w:b/>
        </w:rPr>
        <w:t xml:space="preserve">Restoration to claimant on giving bond</w:t>
      </w:r>
    </w:p>
    <w:p>
      <w:pPr>
        <w:jc w:val="both"/>
        <w:spacing w:before="100" w:after="100"/>
        <w:ind w:start="360"/>
        <w:ind w:firstLine="360"/>
      </w:pPr>
      <w:r>
        <w:rPr/>
      </w:r>
      <w:r>
        <w:rPr/>
      </w:r>
      <w:r>
        <w:t xml:space="preserve">If the person claiming it for himself or another gives bond to the party seizing, with sufficient surety, to pay the appraised value when it is decreed forfeited, it shall be restored to him.</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§7152. Restoration to claimant on giving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§7152. Restoration to claimant on giving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§7152. RESTORATION TO CLAIMANT ON GIVING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