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7053</w:t>
        <w:t xml:space="preserve">.  </w:t>
      </w:r>
      <w:r>
        <w:rPr>
          <w:b/>
        </w:rPr>
        <w:t xml:space="preserve">No costs to plaintiff where 40 years' possession</w:t>
      </w:r>
    </w:p>
    <w:p>
      <w:pPr>
        <w:jc w:val="both"/>
        <w:spacing w:before="100" w:after="100"/>
        <w:ind w:start="360"/>
        <w:ind w:firstLine="360"/>
      </w:pPr>
      <w:r>
        <w:rPr/>
      </w:r>
      <w:r>
        <w:rPr/>
      </w:r>
      <w:r>
        <w:t xml:space="preserve">In all real and mixed actions in which the defendant proves that he and those under whom he claims have been in the open, notorious, adverse and exclusive possession of the demanded premises, claiming in fee simple, for 40 years preceding the commencement of the action, and the jury so finds, the plaintiff recovers no costs.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§7053. No costs to plaintiff where 40 years' possession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§7053. No costs to plaintiff where 40 years' possession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§7053. NO COSTS TO PLAINTIFF WHERE 40 YEARS' POSSESSION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