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6524</w:t>
        <w:t xml:space="preserve">.  </w:t>
      </w:r>
      <w:r>
        <w:rPr>
          <w:b/>
        </w:rPr>
        <w:t xml:space="preserve">Part owners receiving no share</w:t>
      </w:r>
    </w:p>
    <w:p>
      <w:pPr>
        <w:jc w:val="both"/>
        <w:spacing w:before="100" w:after="100"/>
        <w:ind w:start="360"/>
        <w:ind w:firstLine="360"/>
      </w:pPr>
      <w:r>
        <w:rPr/>
      </w:r>
      <w:r>
        <w:rPr/>
      </w:r>
      <w:r>
        <w:t xml:space="preserve">When a person, not a party to the proceedings, to whom no share was assigned or left, claims to have been a part owner of the estate, he is concluded so far as it respects the partition, but not from maintaining an action against each person holding a share, for his proportion of each share as owned before partition was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§6524. Part owners receiving no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§6524. Part owners receiving no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§6524. PART OWNERS RECEIVING NO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