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6511</w:t>
        <w:t xml:space="preserve">.  </w:t>
      </w:r>
      <w:r>
        <w:rPr>
          <w:b/>
        </w:rPr>
        <w:t xml:space="preserve">Commissioners; appointment</w:t>
      </w:r>
    </w:p>
    <w:p>
      <w:pPr>
        <w:jc w:val="both"/>
        <w:spacing w:before="100" w:after="100"/>
        <w:ind w:start="360"/>
        <w:ind w:firstLine="360"/>
      </w:pPr>
      <w:r>
        <w:rPr/>
      </w:r>
      <w:r>
        <w:rPr/>
      </w:r>
      <w:r>
        <w:t xml:space="preserve">After judgment that partition be made, the court shall appoint 3 or 5 disinterested persons as commissioners to make partition and set off to each his share, which shall be expressed in the warrant. Their shares may be set off together or in one tract, or the share of each may be assigned to him, at his election.</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§6511. Commissioners; appointment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§6511. Commissioners; appointment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§6511. COMMISSIONERS; APPOINTMENT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