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New indorser or additional deposit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 NEW INDORSER OR ADDITIONAL DEPOSIT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