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6023</w:t>
        <w:t xml:space="preserve">.  </w:t>
      </w:r>
      <w:r>
        <w:rPr>
          <w:b/>
        </w:rPr>
        <w:t xml:space="preserve">Agency</w:t>
      </w:r>
    </w:p>
    <w:p>
      <w:pPr>
        <w:jc w:val="both"/>
        <w:spacing w:before="100" w:after="100"/>
        <w:ind w:start="360"/>
        <w:ind w:firstLine="360"/>
      </w:pPr>
      <w:r>
        <w:rPr/>
      </w:r>
      <w:r>
        <w:rPr/>
      </w:r>
      <w:r>
        <w:t xml:space="preserve">Any person authorized to enter into a residential lease or tenancy at will agreement on behalf of the owner or owners of the premises is deemed to be the owner's agent for purposes of service of process and receiving and receipting for notices and demands.</w:t>
      </w:r>
      <w:r>
        <w:t xml:space="preserve">  </w:t>
      </w:r>
      <w:r xmlns:wp="http://schemas.openxmlformats.org/drawingml/2010/wordprocessingDrawing" xmlns:w15="http://schemas.microsoft.com/office/word/2012/wordml">
        <w:rPr>
          <w:rFonts w:ascii="Arial" w:hAnsi="Arial" w:cs="Arial"/>
          <w:sz w:val="22"/>
          <w:szCs w:val="22"/>
        </w:rPr>
        <w:t xml:space="preserve">[PL 2009, c. 566,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180 (NEW). PL 2009, c. 566,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§6023. Agency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§6023. Agency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§6023. AGENCY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