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5602</w:t>
        <w:t xml:space="preserve">.  </w:t>
      </w:r>
      <w:r>
        <w:rPr>
          <w:b/>
        </w:rPr>
        <w:t xml:space="preserve">Restitution</w:t>
      </w:r>
    </w:p>
    <w:p>
      <w:pPr>
        <w:jc w:val="both"/>
        <w:spacing w:before="100" w:after="100"/>
        <w:ind w:start="360"/>
        <w:ind w:firstLine="360"/>
      </w:pPr>
      <w:r>
        <w:rPr/>
      </w:r>
      <w:r>
        <w:rPr/>
      </w:r>
      <w:r>
        <w:t xml:space="preserve">The court may order a person adjudicated as having committed a civil violation to pay restitution as part of the judgment.  </w:t>
      </w:r>
      <w:r>
        <w:t>Title 17‑A, chapter 69</w:t>
      </w:r>
      <w:r>
        <w:t xml:space="preserve"> applies to the determination, ordering, payment and enforcement of an order of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C,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§A1 (NEW). PL 2001, c. 421, §C1 (AFF). PL 2019, c. 113, Pt. C,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§5602.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§5602.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§5602.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