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5520</w:t>
        <w:t xml:space="preserve">.  </w:t>
      </w:r>
      <w:r>
        <w:rPr>
          <w:b/>
        </w:rPr>
        <w:t xml:space="preserve">Production of body of restrained person; sickness</w:t>
      </w:r>
    </w:p>
    <w:p>
      <w:pPr>
        <w:jc w:val="both"/>
        <w:spacing w:before="100" w:after="100"/>
        <w:ind w:start="360"/>
        <w:ind w:firstLine="360"/>
      </w:pPr>
      <w:r>
        <w:rPr/>
      </w:r>
      <w:r>
        <w:rPr/>
      </w:r>
      <w:r>
        <w:t xml:space="preserve">The person making the return shall, at the same time, bring the body of the party, as commanded in the writ, if in his custody or power or under his restraint, unless prevented by sickness or infirmity of such party. In such case that fact shall be stated in the return. If proved to the satisfaction of the court or justice, a justice of the court may proceed to the place where the party is confined and there make his examination or may adjourn it to another time or make such other order in the case as law and justice require.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§5520. Production of body of restrained person; sickness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§5520. Production of body of restrained person; sickness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§5520. PRODUCTION OF BODY OF RESTRAINED PERSON; SICKNESS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