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5003</w:t>
        <w:t xml:space="preserve">.  </w:t>
      </w:r>
      <w:r>
        <w:rPr>
          <w:b/>
        </w:rPr>
        <w:t xml:space="preserve">Preservation of lien in case of prior attachment</w:t>
      </w:r>
    </w:p>
    <w:p>
      <w:pPr>
        <w:jc w:val="both"/>
        <w:spacing w:before="100" w:after="100"/>
        <w:ind w:start="360"/>
        <w:ind w:firstLine="360"/>
      </w:pPr>
      <w:r>
        <w:rPr/>
      </w:r>
      <w:r>
        <w:rPr/>
      </w:r>
      <w:r>
        <w:t xml:space="preserve">When real or personal estate is seized on execution and further service is suspended by a prior attachment thereof, such estate shall be bound by the seizure until it is set off or sold in whole or in part under the prior attachment, or until the attachment is dissolved, if the officer seizing such real estate, within 5 days thereafter, files in the office of the register of deeds in the county or district where it lies a copy of his return of the seizure, with the names of the parties, the court at which judgment was recovered, and the date and the amount of the execution. The register shall file and enter the same of record, as in case of attachment of real estate on writs. Like fees shall be allowed to the officer and register therefor.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§5003. Preservation of lien in case of prior attachment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§5003. Preservation of lien in case of prior attachment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§5003. PRESERVATION OF LIEN IN CASE OF PRIOR ATTACHMENT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