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4653</w:t>
        <w:t xml:space="preserve">.  </w:t>
      </w:r>
      <w:r>
        <w:rPr>
          <w:b/>
        </w:rPr>
        <w:t xml:space="preserve">Renewal in 10 years</w:t>
      </w:r>
    </w:p>
    <w:p>
      <w:pPr>
        <w:jc w:val="both"/>
        <w:spacing w:before="100" w:after="100"/>
        <w:ind w:start="360"/>
        <w:ind w:firstLine="360"/>
      </w:pPr>
      <w:r>
        <w:rPr/>
      </w:r>
      <w:r>
        <w:rPr/>
      </w:r>
      <w:r>
        <w:t xml:space="preserve">An alias or pluries execution may be issued within 10 years after the day of issuance of the preceding execution and not afterwards.</w:t>
      </w:r>
      <w:r>
        <w:t xml:space="preserve">  </w:t>
      </w:r>
      <w:r xmlns:wp="http://schemas.openxmlformats.org/drawingml/2010/wordprocessingDrawing" xmlns:w15="http://schemas.microsoft.com/office/word/2012/wordml">
        <w:rPr>
          <w:rFonts w:ascii="Arial" w:hAnsi="Arial" w:cs="Arial"/>
          <w:sz w:val="22"/>
          <w:szCs w:val="22"/>
        </w:rPr>
        <w:t xml:space="preserve">[PL 2001, c. 275,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275,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§4653. Renewal in 10 years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§4653. Renewal in 10 years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§4653. RENEWAL IN 10 YEARS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