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2352</w:t>
        <w:t xml:space="preserve">.  </w:t>
      </w:r>
      <w:r>
        <w:rPr>
          <w:b/>
        </w:rPr>
        <w:t xml:space="preserve">Waste prohibited; remedy</w:t>
      </w:r>
    </w:p>
    <w:p>
      <w:pPr>
        <w:jc w:val="both"/>
        <w:spacing w:before="100" w:after="100"/>
        <w:ind w:start="360"/>
        <w:ind w:firstLine="360"/>
      </w:pPr>
      <w:r>
        <w:rPr/>
      </w:r>
      <w:r>
        <w:rPr/>
      </w:r>
      <w:r>
        <w:t xml:space="preserve">No strip or waste shall be made on such estate before or during the pendency of proceedings under </w:t>
      </w:r>
      <w:r>
        <w:t>section 2351</w:t>
      </w:r>
      <w:r>
        <w:t xml:space="preserve">. After final judgment in the action, if relief from the judgment is granted, the plaintiff in such action, besides other remedies, may, within said 3 months, without a tender or demand to account, bring his action, for the redemption of such estate.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§2352. Waste prohibited; remedy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§2352. Waste prohibited; remedy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§2352. WASTE PROHIBITED; REMEDY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