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Execution sale of railroad franchises</w:t>
      </w:r>
    </w:p>
    <w:p>
      <w:pPr>
        <w:jc w:val="both"/>
        <w:spacing w:before="100" w:after="100"/>
        <w:ind w:start="360"/>
        <w:ind w:firstLine="360"/>
      </w:pPr>
      <w:r>
        <w:rPr/>
      </w:r>
      <w:r>
        <w:rPr/>
      </w:r>
      <w:r>
        <w:t xml:space="preserve">When the franchise of a railroad has been sold on execution as provided in </w:t>
      </w:r>
      <w:r>
        <w:t>section 4855</w:t>
      </w:r>
      <w:r>
        <w:t xml:space="preserve">, the officer may convey the same by deed, which shall be recorded in the registry of deeds of each county or district in which any part of such railroad lies. The debtor has the same right of redemption from such sale as from sales of real estate under </w:t>
      </w:r>
      <w:r>
        <w:t>section 2201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§2301. Execution sale of railroad franchises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Execution sale of railroad franchises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§2301. EXECUTION SALE OF RAILROAD FRANCHISES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