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2017</w:t>
        <w:t xml:space="preserve">.  </w:t>
      </w:r>
      <w:r>
        <w:rPr>
          <w:b/>
        </w:rPr>
        <w:t xml:space="preserve">Unrecorded levy void against purchaser or creditor</w:t>
      </w:r>
    </w:p>
    <w:p>
      <w:pPr>
        <w:jc w:val="both"/>
        <w:spacing w:before="100" w:after="100"/>
        <w:ind w:start="360"/>
        <w:ind w:firstLine="360"/>
      </w:pPr>
      <w:r>
        <w:rPr/>
      </w:r>
      <w:r>
        <w:rPr/>
      </w:r>
      <w:r>
        <w:t xml:space="preserve">When not recorded as provided in </w:t>
      </w:r>
      <w:r>
        <w:t>section 2016</w:t>
      </w:r>
      <w:r>
        <w:t xml:space="preserve">, the levy is void against a person who has purchased for a valuable consideration, or has attached or taken on execution, the same premises without actual notice thereof. If the levy is recorded after the 3 months, it will be valid against a conveyance, attachment or levy made after such record.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§2017. Unrecorded levy void against purchaser or creditor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§2017. Unrecorded levy void against purchaser or creditor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§2017. UNRECORDED LEVY VOID AGAINST PURCHASER OR CREDITOR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