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2009</w:t>
        <w:t xml:space="preserve">.  </w:t>
      </w:r>
      <w:r>
        <w:rPr>
          <w:b/>
        </w:rPr>
        <w:t xml:space="preserve">Levy on rents and profits</w:t>
      </w:r>
    </w:p>
    <w:p>
      <w:pPr>
        <w:jc w:val="both"/>
        <w:spacing w:before="100" w:after="100"/>
        <w:ind w:start="360"/>
        <w:ind w:firstLine="360"/>
      </w:pPr>
      <w:r>
        <w:rPr/>
      </w:r>
      <w:r>
        <w:rPr/>
      </w:r>
      <w:r>
        <w:t xml:space="preserve">When the estate cannot be described as provided in </w:t>
      </w:r>
      <w:r>
        <w:t>section 2003</w:t>
      </w:r>
      <w:r>
        <w:t xml:space="preserve">, the execution may be levied on its rents and profits, and the officer may give seizin thereof to the creditor, and cause a person in possession to become tenant to him or, on his refusal, may turn him out and give possession to the creditor.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§2009. Levy on rents and profits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§2009. Levy on rents and profits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§2009. LEVY ON RENTS AND PROFITS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