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1202-A</w:t>
        <w:t xml:space="preserve">.  </w:t>
      </w:r>
      <w:r>
        <w:rPr>
          <w:b/>
        </w:rPr>
        <w:t xml:space="preserve">Prohibition of discrimination</w:t>
      </w:r>
    </w:p>
    <w:p>
      <w:pPr>
        <w:jc w:val="both"/>
        <w:spacing w:before="100" w:after="100"/>
        <w:ind w:start="360"/>
        <w:ind w:firstLine="360"/>
      </w:pPr>
      <w:r>
        <w:rPr/>
      </w:r>
      <w:r>
        <w:rPr/>
      </w:r>
      <w:r>
        <w:t xml:space="preserve">A citizen may not be excluded from jury service in this State on account of actual or perceived race, color, sex, sexual orientation, gender identity, economic status, marital status, physical disability, religion, ancestry or national origin or familial status, except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553,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§G2 (NEW). RR 2017, c. 1, §6 (COR). PL 2017, c. 223, §3 (AMD). PL 2021, c. 348, §17 (AMD). PL 2021, c. 366, §25 (AMD). PL 2021, c. 553,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§1202-A. Prohibition of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§1202-A. Prohibition of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§1202-A. PROHIBITION OF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