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5108</w:t>
        <w:t xml:space="preserve">.  </w:t>
      </w:r>
      <w:r>
        <w:rPr>
          <w:b/>
        </w:rPr>
        <w:t xml:space="preserve">Application to existing institutional funds</w:t>
      </w:r>
    </w:p>
    <w:p>
      <w:pPr>
        <w:jc w:val="both"/>
        <w:spacing w:before="100" w:after="100"/>
        <w:ind w:start="360"/>
        <w:ind w:firstLine="360"/>
      </w:pPr>
      <w:r>
        <w:rPr/>
      </w:r>
      <w:r>
        <w:rPr/>
      </w:r>
      <w:r>
        <w:t xml:space="preserve">This chapter applies to institutional funds existing on or established after July 1, 2009. As applied to institutional funds existing on July 1, 2009, this chapter governs only decisions made or actions taken on or after that date.</w:t>
      </w:r>
      <w:r>
        <w:t xml:space="preserve">  </w:t>
      </w:r>
      <w:r xmlns:wp="http://schemas.openxmlformats.org/drawingml/2010/wordprocessingDrawing" xmlns:w15="http://schemas.microsoft.com/office/word/2012/wordml">
        <w:rPr>
          <w:rFonts w:ascii="Arial" w:hAnsi="Arial" w:cs="Arial"/>
          <w:sz w:val="22"/>
          <w:szCs w:val="22"/>
        </w:rPr>
        <w:t xml:space="preserve">[PL 2009, c. 450, §2 (NEW); PL 2009, c. 450,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450, §2 (NEW). PL 2009, c. 450,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§5108. Application to existing institutional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§5108. Application to existing institutional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§5108. APPLICATION TO EXISTING INSTITUTIONAL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