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w:t>
        <w:t xml:space="preserve">.  </w:t>
      </w:r>
      <w:r>
        <w:rPr>
          <w:b/>
        </w:rPr>
        <w:t xml:space="preserve">Parol contracts</w:t>
      </w:r>
    </w:p>
    <w:p>
      <w:pPr>
        <w:jc w:val="both"/>
        <w:spacing w:before="100" w:after="100"/>
        <w:ind w:start="360"/>
        <w:ind w:firstLine="360"/>
      </w:pPr>
      <w:r>
        <w:rPr/>
      </w:r>
      <w:r>
        <w:rPr/>
      </w:r>
      <w:r>
        <w:t xml:space="preserve">Corporations are bound by parol contracts made by an agent authorized by vote or by their bylaws. Contracts may be implied from corporate acts or from the acts of the general agent.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 Parol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 Parol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§331. PAROL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