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3162</w:t>
        <w:t xml:space="preserve">.  </w:t>
      </w:r>
      <w:r>
        <w:rPr>
          <w:b/>
        </w:rPr>
        <w:t xml:space="preserve">Trustees</w:t>
      </w:r>
    </w:p>
    <w:p>
      <w:pPr>
        <w:jc w:val="both"/>
        <w:spacing w:before="100" w:after="100"/>
        <w:ind w:start="360"/>
        <w:ind w:firstLine="360"/>
      </w:pPr>
      <w:r>
        <w:rPr/>
      </w:r>
      <w:r>
        <w:rPr/>
      </w:r>
      <w:r>
        <w:t xml:space="preserve">The municipal officers, town clerk and treasurer of each town where no other trustees are lawfully appointed for that purpose shall be a corporation and trustees of such ministerial and school funds, with the usual powers granted to similar corporations.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§3162.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§3162.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§3162.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