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2006</w:t>
        <w:t xml:space="preserve">.  </w:t>
      </w:r>
      <w:r>
        <w:rPr>
          <w:b/>
        </w:rPr>
        <w:t xml:space="preserve">Registration as dealers in securities</w:t>
      </w:r>
    </w:p>
    <w:p>
      <w:pPr>
        <w:jc w:val="both"/>
        <w:spacing w:before="100" w:after="100"/>
        <w:ind w:start="360"/>
        <w:ind w:firstLine="360"/>
      </w:pPr>
      <w:r>
        <w:rPr/>
      </w:r>
      <w:r>
        <w:rPr/>
      </w:r>
      <w:r>
        <w:t xml:space="preserve">Associations organized under this chapter shall be subject to </w:t>
      </w:r>
      <w:r>
        <w:t>Title 32, chapter 13</w:t>
      </w:r>
      <w:r>
        <w:t xml:space="preserve">. The fee charged for registration or renewal shall be $10.</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§2006. Registration as dealers in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§2006. Registration as dealers in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§2006. REGISTRATION AS DEALERS IN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